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0B1B4A"/>
        </w:rPr>
        <w:t>Temizlik Hizmet Sözleşmesi</w:t>
      </w:r>
    </w:p>
    <w:p>
      <w:pPr>
        <w:jc w:val="center"/>
      </w:pPr>
      <w:r>
        <w:rPr>
          <w:i/>
        </w:rPr>
        <w:t>Örnek şablon – köşeli parantezli alanlar doldurulur</w:t>
      </w:r>
    </w:p>
    <w:p>
      <w:r>
        <w:rPr>
          <w:b/>
        </w:rPr>
        <w:t xml:space="preserve">Madde 1 – Taraflar: </w:t>
      </w:r>
      <w:r>
        <w:t>Bu sözleşme bir tarafta [Hizmet alan kurum / site yönetimi, adres, vergi dairesi ve numarası] (bundan sonra "Hizmet Alan"), diğer tarafta [Hizmet veren firma, adres, vergi dairesi ve numarası] (bundan sonra "Hizmet Veren") arasında aşağıdaki şartlarla yapılmıştır.</w:t>
      </w:r>
    </w:p>
    <w:p>
      <w:r>
        <w:rPr>
          <w:b/>
        </w:rPr>
        <w:t xml:space="preserve">Madde 2 – Konu ve hizmet yeri: </w:t>
      </w:r>
      <w:r>
        <w:t>Sözleşmenin konusu, [hizmet adresi] adresindeki [alanlar: ofis katları, ortak alanlar, tuvaletler vb.] için temizlik hizmetinin Ek-1'deki görev tanımına ve sıklıklara uygun yürütülmesidir.</w:t>
      </w:r>
    </w:p>
    <w:p>
      <w:r>
        <w:rPr>
          <w:b/>
        </w:rPr>
        <w:t xml:space="preserve">Madde 3 – Süre: </w:t>
      </w:r>
      <w:r>
        <w:t>Sözleşme [başlangıç tarihi] tarihinde başlar ve [süre] süreyle geçerlidir. Taraflardan biri süre bitiminden [30] gün önce yazılı bildirimde bulunmazsa sözleşme aynı şartlarla [1 yıl] uzar.</w:t>
      </w:r>
    </w:p>
    <w:p>
      <w:r>
        <w:rPr>
          <w:b/>
        </w:rPr>
        <w:t xml:space="preserve">Madde 4 – Personel sayısı ve çalışma düzeni: </w:t>
      </w:r>
      <w:r>
        <w:t>Hizmet [sayı] personelle, [günler] günleri [saat aralığı] arasında verilir. Personelin izinli, raporlu ya da işten ayrıldığı günlerde Hizmet Veren [aynı gün / en geç ... saat içinde] yerine personel görevlendirir.</w:t>
      </w:r>
    </w:p>
    <w:p>
      <w:r>
        <w:rPr>
          <w:b/>
        </w:rPr>
        <w:t xml:space="preserve">Madde 5 – Personelin işvereni: </w:t>
      </w:r>
      <w:r>
        <w:t>Personel Hizmet Veren'in çalışanıdır. Ücret, sigorta primleri, yasal izinler ve iş sağlığı ve güvenliği yükümlülükleri Hizmet Veren'e aittir. Hizmet Veren, istendiğinde aylık prim ödeme belgelerini ve ücret ödeme kayıtlarını Hizmet Alan'a sunar.</w:t>
      </w:r>
    </w:p>
    <w:p>
      <w:r>
        <w:rPr>
          <w:b/>
        </w:rPr>
        <w:t xml:space="preserve">Madde 6 – Malzeme ve ekipman: </w:t>
      </w:r>
      <w:r>
        <w:t>Temizlik malzemesi ve ekipmanı [Hizmet Veren / Hizmet Alan] tarafından karşılanır. Sarf malzemesi (tuvalet kâğıdı, kâğıt havlu, sabun, çöp poşeti) [taraf] tarafından karşılanır.</w:t>
      </w:r>
    </w:p>
    <w:p>
      <w:r>
        <w:rPr>
          <w:b/>
        </w:rPr>
        <w:t xml:space="preserve">Madde 7 – Bedel ve ödeme: </w:t>
      </w:r>
      <w:r>
        <w:t>Aylık hizmet bedeli [tutar] TL + KDV'dir. Bedel her ay sonunda düzenlenen faturaya karşılık [gün] gün içinde [banka hesabına] ödenir. Ek iş talepleri yazılı fiyatla ayrıca faturalandırılır.</w:t>
      </w:r>
    </w:p>
    <w:p>
      <w:r>
        <w:rPr>
          <w:b/>
        </w:rPr>
        <w:t xml:space="preserve">Madde 8 – Fiyat güncelleme: </w:t>
      </w:r>
      <w:r>
        <w:t>Asgari ücrette ya da yasal maliyetlerde değişiklik olduğunda hizmet bedeli, artış oranı esas alınarak taraflarca yazılı olarak güncellenir.</w:t>
      </w:r>
    </w:p>
    <w:p>
      <w:r>
        <w:rPr>
          <w:b/>
        </w:rPr>
        <w:t xml:space="preserve">Madde 9 – Kalite kontrol: </w:t>
      </w:r>
      <w:r>
        <w:t>İş, Ek-2'deki kontrol çizelgesiyle izlenir. Hizmet Alan'ın yazılı bildirdiği eksiklik [aynı gün / 24 saat] içinde giderilir. Taraflar [ayda bir] kez birlikte denetim yapar.</w:t>
      </w:r>
    </w:p>
    <w:p>
      <w:r>
        <w:rPr>
          <w:b/>
        </w:rPr>
        <w:t xml:space="preserve">Madde 10 – İş sağlığı ve güvenliği: </w:t>
      </w:r>
      <w:r>
        <w:t>Hizmet Veren personelin iş sağlığı ve güvenliği eğitimlerini aldırır ve kişisel koruyucu donanımını sağlar. Hizmet Alan, çalışma alanına özgü riskleri ve kuralları Hizmet Veren'e bildirir.</w:t>
      </w:r>
    </w:p>
    <w:p>
      <w:r>
        <w:rPr>
          <w:b/>
        </w:rPr>
        <w:t xml:space="preserve">Madde 11 – Gizlilik ve hasar: </w:t>
      </w:r>
      <w:r>
        <w:t>Personel çalışma alanında öğrendiği bilgileri ve belgeleri üçüncü kişilerle paylaşmaz. Personelin kusuruyla oluşan hasarı Hizmet Veren karşılar; hasar tutanakla tespit edilir.</w:t>
      </w:r>
    </w:p>
    <w:p>
      <w:r>
        <w:rPr>
          <w:b/>
        </w:rPr>
        <w:t xml:space="preserve">Madde 12 – Personel değişikliği: </w:t>
      </w:r>
      <w:r>
        <w:t>Hizmet Alan, gerekçesini yazılı bildirerek bir personelin değiştirilmesini isteyebilir; Hizmet Veren [süre] içinde yeni personel görevlendirir.</w:t>
      </w:r>
    </w:p>
    <w:p>
      <w:r>
        <w:rPr>
          <w:b/>
        </w:rPr>
        <w:t xml:space="preserve">Madde 13 – Fesih: </w:t>
      </w:r>
      <w:r>
        <w:t>Taraflardan biri sözleşmeye aykırılığı yazılı bildirir ve aykırılık [15] gün içinde giderilmezse sözleşme yazılı bildirimle feshedilebilir. Haklı neden olmaksızın fesihte [30] gün önceden bildirim yapılır.</w:t>
      </w:r>
    </w:p>
    <w:p>
      <w:r>
        <w:rPr>
          <w:b/>
        </w:rPr>
        <w:t xml:space="preserve">Madde 14 – Uyuşmazlık: </w:t>
      </w:r>
      <w:r>
        <w:t>Bu sözleşmeden doğan uyuşmazlıklarda [şehir] mahkemeleri ve icra daireleri yetkilidir.</w:t>
      </w:r>
    </w:p>
    <w:p>
      <w:r>
        <w:rPr>
          <w:b/>
        </w:rPr>
        <w:t xml:space="preserve">Madde 15 – Ekler ve yürürlük: </w:t>
      </w:r>
      <w:r>
        <w:t>Ek-1 Görev tanımı ve sıklıklar, Ek-2 Kontrol çizelgesi, Ek-3 Fiyat teklifi sözleşmenin parçasıdır. Sözleşme [sayfa sayısı] sayfa ve [madde sayısı] maddeden oluşur, iki nüsha olarak imzalanmıştır.</w:t>
      </w:r>
    </w:p>
    <w:p/>
    <w:tbl>
      <w:tblPr>
        <w:tblW w:type="auto" w:w="0"/>
        <w:tblLook w:firstColumn="1" w:firstRow="1" w:lastColumn="0" w:lastRow="0" w:noHBand="0" w:noVBand="1" w:val="04A0"/>
      </w:tblPr>
      <w:tblGrid>
        <w:gridCol w:w="4320"/>
        <w:gridCol w:w="4320"/>
      </w:tblGrid>
      <w:tr>
        <w:tc>
          <w:tcPr>
            <w:tcW w:type="dxa" w:w="4320"/>
          </w:tcPr>
          <w:p>
            <w:r>
              <w:t>Hizmet Alan</w:t>
              <w:br/>
              <w:t>Ad, unvan, imza, kaşe</w:t>
              <w:br/>
              <w:br/>
              <w:t>________________</w:t>
            </w:r>
          </w:p>
        </w:tc>
        <w:tc>
          <w:tcPr>
            <w:tcW w:type="dxa" w:w="4320"/>
          </w:tcPr>
          <w:p>
            <w:r>
              <w:t>Hizmet Veren</w:t>
              <w:br/>
              <w:t>Ad, unvan, imza, kaşe</w:t>
              <w:br/>
              <w:br/>
              <w:t>________________</w:t>
            </w:r>
          </w:p>
        </w:tc>
      </w:tr>
    </w:tbl>
    <w:p>
      <w:r>
        <w:t>Tarih: ___/___/______</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Örnek şablon · sarertemizlik.com · Hukuki danışmanlık değildir; kuruma göre düzenlenmelidir.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